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/>
      </w:r>
      <w:r/>
    </w:p>
    <w:tbl>
      <w:tblPr>
        <w:tblStyle w:val="624"/>
        <w:tblW w:w="9355" w:type="dxa"/>
        <w:jc w:val="right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7"/>
        <w:tblGridChange w:id="0">
          <w:tblGrid>
            <w:gridCol w:w="4677"/>
            <w:gridCol w:w="4677"/>
          </w:tblGrid>
        </w:tblGridChange>
      </w:tblGrid>
      <w:tr>
        <w:trPr>
          <w:cantSplit w:val="false"/>
        </w:trPr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0"/>
              <w:keepNext w:val="0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/>
            </w:r>
            <w:r/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t xml:space="preserve">В АО “Банк”</w:t>
            </w:r>
            <w:r/>
          </w:p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t xml:space="preserve">Адрес:г. Уфа, ул. Цюрупы, д. 10</w:t>
            </w:r>
            <w:r/>
          </w:p>
          <w:p>
            <w:pPr>
              <w:ind w:left="0" w:right="0" w:firstLine="0"/>
              <w:jc w:val="both"/>
              <w:keepLines w:val="0"/>
              <w:keepNext w:val="0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</w:pPr>
            <w:r>
              <w:rPr/>
            </w:r>
            <w:r/>
          </w:p>
        </w:tc>
      </w:tr>
      <w:tr>
        <w:trPr>
          <w:cantSplit w:val="false"/>
        </w:trPr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0"/>
              <w:keepNext w:val="0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/>
            </w:r>
            <w:r/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t xml:space="preserve">От: Иванова Ивана Ивановича</w:t>
            </w:r>
            <w:r/>
          </w:p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t xml:space="preserve">Адрес:г. Уфа, ул. Новомостовая, д. 8</w:t>
            </w:r>
            <w:r/>
          </w:p>
        </w:tc>
      </w:tr>
    </w:tbl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/>
      </w:r>
      <w:r/>
    </w:p>
    <w:p>
      <w:pPr>
        <w:ind w:left="-996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Заявление</w:t>
      </w:r>
      <w:r/>
    </w:p>
    <w:p>
      <w:pPr>
        <w:ind w:left="-996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/>
      </w:r>
      <w:r/>
    </w:p>
    <w:p>
      <w:pPr>
        <w:ind w:left="0" w:firstLine="566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Между мной, </w:t>
      </w:r>
      <w:r>
        <w:rPr>
          <w:rFonts w:ascii="Times New Roman" w:hAnsi="Times New Roman" w:eastAsia="Times New Roman" w:cs="Times New Roman"/>
          <w:color w:val="ff0000"/>
          <w:sz w:val="26"/>
          <w:szCs w:val="26"/>
        </w:rPr>
        <w:t xml:space="preserve">Ивановым Иваном Ивановичем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(далее по тексту – Заявитель), и </w:t>
      </w:r>
      <w:r>
        <w:rPr>
          <w:rFonts w:ascii="Times New Roman" w:hAnsi="Times New Roman" w:eastAsia="Times New Roman" w:cs="Times New Roman"/>
          <w:color w:val="ff0000"/>
          <w:sz w:val="26"/>
          <w:szCs w:val="26"/>
        </w:rPr>
        <w:t xml:space="preserve">ПАО “Сбербанк”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(далее по тексту – Банк) был заключен кредитный договор </w:t>
      </w:r>
      <w:r>
        <w:rPr>
          <w:rFonts w:ascii="Times New Roman" w:hAnsi="Times New Roman" w:eastAsia="Times New Roman" w:cs="Times New Roman"/>
          <w:color w:val="ff0000"/>
          <w:sz w:val="26"/>
          <w:szCs w:val="26"/>
        </w:rPr>
        <w:t xml:space="preserve">№ 50689833 от 01.01.2012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(далее по тексту – Кредитный договор).</w:t>
      </w:r>
      <w:r/>
    </w:p>
    <w:p>
      <w:pPr>
        <w:ind w:left="0" w:firstLine="566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соответствии с данным договором, Заявителю предоставлен кредит в размере </w:t>
      </w:r>
      <w:r>
        <w:rPr>
          <w:rFonts w:ascii="Times New Roman" w:hAnsi="Times New Roman" w:eastAsia="Times New Roman" w:cs="Times New Roman"/>
          <w:color w:val="ff0000"/>
          <w:sz w:val="26"/>
          <w:szCs w:val="26"/>
        </w:rPr>
        <w:t xml:space="preserve">3 000 000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руб. с процентной ставкой </w:t>
      </w:r>
      <w:r>
        <w:rPr>
          <w:rFonts w:ascii="Times New Roman" w:hAnsi="Times New Roman" w:eastAsia="Times New Roman" w:cs="Times New Roman"/>
          <w:color w:val="ff0000"/>
          <w:sz w:val="26"/>
          <w:szCs w:val="26"/>
        </w:rPr>
        <w:t xml:space="preserve">40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% годовых на срок </w:t>
      </w:r>
      <w:r>
        <w:rPr>
          <w:rFonts w:ascii="Times New Roman" w:hAnsi="Times New Roman" w:eastAsia="Times New Roman" w:cs="Times New Roman"/>
          <w:color w:val="ff0000"/>
          <w:sz w:val="26"/>
          <w:szCs w:val="26"/>
        </w:rPr>
        <w:t xml:space="preserve">60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месяцев. Ежемесячный платеж установлен в сумме </w:t>
      </w:r>
      <w:r>
        <w:rPr>
          <w:rFonts w:ascii="Times New Roman" w:hAnsi="Times New Roman" w:eastAsia="Times New Roman" w:cs="Times New Roman"/>
          <w:color w:val="ff0000"/>
          <w:sz w:val="26"/>
          <w:szCs w:val="26"/>
        </w:rPr>
        <w:t xml:space="preserve">100 000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руб. </w:t>
      </w:r>
      <w:r/>
    </w:p>
    <w:p>
      <w:pPr>
        <w:ind w:left="0" w:firstLine="566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астоящее время в связи с потерей постоянного заработка произошло существенное ухудшение финансового положения Заемщика. При этом Заемщиком принимаются меры по восстановлению постоянного источника дохода в целях дальнейшего погашения кредитных обязательств.</w:t>
      </w:r>
      <w:r/>
    </w:p>
    <w:p>
      <w:pPr>
        <w:ind w:left="0" w:firstLine="566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Принимая во внимание данное обстоятельство, по состоянию на сегодняшний день осуществление ежемесячных платежей в размерах, установленных графиком к кредитному договору, не представляется возможным.</w:t>
      </w:r>
      <w:r/>
    </w:p>
    <w:p>
      <w:pPr>
        <w:ind w:left="0" w:firstLine="566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Учитывая, что в течение всего срока действия кредитного договора Заемщиком своевременно совершались все платежи (основной долг, проценты, комиссии) без нарушений условий договора, он  является добросовестным заемщиком.</w:t>
      </w:r>
      <w:r/>
    </w:p>
    <w:p>
      <w:pPr>
        <w:ind w:left="0" w:firstLine="566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Согласно ст. 421 ГК РФ стороны свободны в заключении договора. По соглашению сторон в кредитный договор возможно внести изменения об уменьшении размера процентной ставки, срока уплаты кредита и размера ежемесячного платежа.</w:t>
      </w:r>
      <w:r/>
    </w:p>
    <w:p>
      <w:pPr>
        <w:ind w:firstLine="57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Для восстановления платежеспособности Заемщика, прошу рассмотреть возможность реструктуризации долга (снизить размер ежемесячного платежа с пролонгацией оплаты долга либо изменить периодичность платежей с ежемесячной на квартальную).</w:t>
      </w:r>
      <w:r/>
    </w:p>
    <w:p>
      <w:pPr>
        <w:ind w:firstLine="57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 возможности проведения реструктуризации прошу сообщить мне по телефону </w:t>
      </w:r>
      <w:r>
        <w:rPr>
          <w:rFonts w:ascii="Times New Roman" w:hAnsi="Times New Roman" w:eastAsia="Times New Roman" w:cs="Times New Roman"/>
          <w:color w:val="ff0000"/>
          <w:sz w:val="26"/>
          <w:szCs w:val="26"/>
        </w:rPr>
        <w:t xml:space="preserve">8-917-917-9171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/>
    </w:p>
    <w:p>
      <w:pPr>
        <w:ind w:left="0" w:firstLine="566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  <w:r>
        <w:rPr/>
      </w:r>
      <w:r/>
    </w:p>
    <w:p>
      <w:pPr>
        <w:ind w:left="0" w:firstLine="566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/>
      </w:r>
      <w:r/>
    </w:p>
    <w:p>
      <w:pPr>
        <w:ind w:left="0" w:firstLine="566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/>
      </w:r>
      <w:r/>
    </w:p>
    <w:p>
      <w:pPr>
        <w:ind w:left="0" w:firstLine="566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 уважением, </w:t>
      </w:r>
      <w:r>
        <w:rPr>
          <w:rFonts w:ascii="Times New Roman" w:hAnsi="Times New Roman" w:eastAsia="Times New Roman" w:cs="Times New Roman"/>
          <w:color w:val="ff0000"/>
          <w:sz w:val="26"/>
          <w:szCs w:val="26"/>
        </w:rPr>
        <w:t xml:space="preserve">Иванов Иван Иванович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</w:t>
      </w:r>
      <w:r/>
    </w:p>
    <w:tbl>
      <w:tblPr>
        <w:tblStyle w:val="625"/>
        <w:tblW w:w="9355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7"/>
        <w:tblGridChange w:id="1">
          <w:tblGrid>
            <w:gridCol w:w="4677"/>
            <w:gridCol w:w="4677"/>
          </w:tblGrid>
        </w:tblGridChange>
      </w:tblGrid>
      <w:tr>
        <w:trPr>
          <w:cantSplit w:val="false"/>
        </w:trPr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ind w:left="0" w:firstLine="566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t xml:space="preserve">__ _______ 20__г.</w:t>
            </w:r>
            <w:r/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ind w:left="0" w:firstLine="566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t xml:space="preserve">__________/Иванов И.И.</w:t>
            </w:r>
            <w:r/>
          </w:p>
        </w:tc>
      </w:tr>
    </w:tbl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«Афонин и партнеры»</w:t>
      </w:r>
      <w:r>
        <w:rPr>
          <w:b/>
          <w:bCs/>
          <w:sz w:val="36"/>
          <w:szCs w:val="36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Партнерская программа</w:t>
      </w:r>
      <w:r>
        <w:rPr>
          <w:b/>
          <w:bCs/>
          <w:sz w:val="36"/>
          <w:szCs w:val="36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Добрый день! </w:t>
      </w:r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Меня зовут Игорь Афонин, </w:t>
      </w:r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я руководитель юридической </w:t>
      </w:r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компании «Афонин и партнеры» </w:t>
      </w:r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Спасибо, что скачали один из шаблонов заявлений, надеюсь они помогут вам.</w:t>
      </w:r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Хочу пригласить ваш в партнерскую программу — для помощи людям у которых возникли затруднения с кредитами и долгами.   Если вы доверяете качеству нашей работы, то рекомендуйте нас знакомым и родным.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Вы получите вознаграждение, а они, благодаря вашей рекомендации, законно освободятся от долгов и кредитов.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  Наша компания «Афонин и партнеры» законно освобождает людей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от непосильных кредитов и долгов — через процедуру банкротства, с 2015 года.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Мы уже освободили от долгов больше 1 105 человек.  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Просто рекомендуя нас или отправляя ссылки на наши блоги, вы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сможете помочь людям и при этом заработать, с помощью партнерской программы.  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Подробнее об условиях партнерской программы, читайте на нашем сайте, переходите по ссылке </w:t>
      </w:r>
      <w:hyperlink r:id="rId9" w:tooltip="https://xn-----6kccabiku3amd2bhib5ahmdqbk.xn--p1ai/partners?utm_source=shablon_zayavlenia&amp;utm_medium=action&amp;utm_campaign=pismopp" w:history="1">
        <w:r>
          <w:rPr>
            <w:rStyle w:val="173"/>
            <w:rFonts w:ascii="Times New Roman" w:hAnsi="Times New Roman" w:eastAsia="Times New Roman" w:cs="Times New Roman"/>
            <w:sz w:val="24"/>
          </w:rPr>
          <w:t xml:space="preserve">банкротство-с-гарантией.рф/partners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 или сканируйте QR-код ниже.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10100" cy="14101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65724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1410099" cy="1410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11.0pt;height:111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 уважением, Игорь Афонин</w:t>
      </w:r>
      <w:r/>
      <w:r/>
    </w:p>
    <w:p>
      <w:pPr>
        <w:jc w:val="both"/>
        <w:spacing w:before="120" w:line="30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 коллектив «Афонин и партнеры»</w:t>
      </w:r>
      <w:r>
        <w:rPr>
          <w:rFonts w:ascii="Times New Roman" w:hAnsi="Times New Roman" w:eastAsia="Times New Roman" w:cs="Times New Roman"/>
          <w:color w:val="333333"/>
          <w:sz w:val="22"/>
          <w:szCs w:val="22"/>
        </w:rPr>
      </w:r>
      <w:r/>
    </w:p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/>
      </w:r>
      <w:r/>
    </w:p>
    <w:sectPr>
      <w:footerReference w:type="default" r:id="rId8"/>
      <w:footnotePr/>
      <w:endnotePr/>
      <w:type w:val="nextPage"/>
      <w:pgSz w:w="11906" w:h="16838" w:orient="portrait"/>
      <w:pgMar w:top="1134" w:right="850" w:bottom="1134" w:left="1133" w:header="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spacing w:after="920"/>
      <w:rPr>
        <w:rFonts w:ascii="Times New Roman" w:hAnsi="Times New Roman" w:eastAsia="Times New Roman" w:cs="Times New Roman"/>
      </w:rPr>
    </w:pPr>
    <w:r>
      <w:fldChar w:fldCharType="begin"/>
      <w:instrText xml:space="preserve">PAGE</w:instrText>
      <w:fldChar w:fldCharType="separate"/>
      <w:fldChar w:fldCharType="end"/>
    </w:r>
    <w:r>
      <w:rPr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10"/>
    <w:link w:val="616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10"/>
    <w:link w:val="617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10"/>
    <w:link w:val="618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10"/>
    <w:link w:val="619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10"/>
    <w:link w:val="620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10"/>
    <w:link w:val="621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4"/>
    <w:next w:val="61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4"/>
    <w:next w:val="61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4"/>
    <w:next w:val="61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14"/>
    <w:uiPriority w:val="34"/>
    <w:qFormat/>
    <w:pPr>
      <w:contextualSpacing/>
      <w:ind w:left="720"/>
    </w:pPr>
  </w:style>
  <w:style w:type="table" w:styleId="3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10"/>
    <w:link w:val="622"/>
    <w:uiPriority w:val="10"/>
    <w:rPr>
      <w:sz w:val="48"/>
      <w:szCs w:val="48"/>
    </w:rPr>
  </w:style>
  <w:style w:type="character" w:styleId="36">
    <w:name w:val="Subtitle Char"/>
    <w:basedOn w:val="10"/>
    <w:link w:val="623"/>
    <w:uiPriority w:val="11"/>
    <w:rPr>
      <w:sz w:val="24"/>
      <w:szCs w:val="24"/>
    </w:rPr>
  </w:style>
  <w:style w:type="paragraph" w:styleId="37">
    <w:name w:val="Quote"/>
    <w:basedOn w:val="614"/>
    <w:next w:val="61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4"/>
    <w:next w:val="61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1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14"/>
    <w:next w:val="6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1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1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14"/>
    <w:next w:val="61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4"/>
    <w:next w:val="61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4"/>
    <w:next w:val="61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4"/>
    <w:next w:val="61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4"/>
    <w:next w:val="61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4"/>
    <w:next w:val="61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4"/>
    <w:next w:val="61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4"/>
    <w:next w:val="61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4"/>
    <w:next w:val="61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4"/>
    <w:next w:val="614"/>
    <w:uiPriority w:val="99"/>
    <w:unhideWhenUsed/>
    <w:pPr>
      <w:spacing w:after="0" w:afterAutospacing="0"/>
    </w:pPr>
  </w:style>
  <w:style w:type="paragraph" w:styleId="614" w:default="1">
    <w:name w:val="Normal"/>
  </w:style>
  <w:style w:type="table" w:styleId="615" w:default="1">
    <w:name w:val="Table Normal"/>
    <w:tblPr/>
  </w:style>
  <w:style w:type="paragraph" w:styleId="616">
    <w:name w:val="Heading 1"/>
    <w:basedOn w:val="614"/>
    <w:next w:val="614"/>
    <w:pPr>
      <w:ind w:left="0" w:right="0" w:firstLine="0"/>
      <w:jc w:val="left"/>
      <w:keepLines/>
      <w:keepNext/>
      <w:spacing w:before="480" w:after="120" w:line="276" w:lineRule="auto"/>
      <w:shd w:val="clear" w:color="auto" w:fill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Calibri" w:cs="Calibri"/>
      <w:b/>
      <w:color w:val="000000"/>
      <w:sz w:val="48"/>
      <w:szCs w:val="48"/>
      <w:u w:val="none"/>
      <w:shd w:val="clear" w:color="auto" w:fill="auto"/>
      <w:vertAlign w:val="baseline"/>
    </w:rPr>
  </w:style>
  <w:style w:type="paragraph" w:styleId="617">
    <w:name w:val="Heading 2"/>
    <w:basedOn w:val="614"/>
    <w:next w:val="614"/>
    <w:pPr>
      <w:ind w:left="0" w:right="0" w:firstLine="0"/>
      <w:jc w:val="left"/>
      <w:keepLines/>
      <w:keepNext/>
      <w:spacing w:before="360" w:after="80" w:line="276" w:lineRule="auto"/>
      <w:shd w:val="clear" w:color="auto" w:fill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Calibri" w:cs="Calibri"/>
      <w:b/>
      <w:color w:val="000000"/>
      <w:sz w:val="36"/>
      <w:szCs w:val="36"/>
      <w:u w:val="none"/>
      <w:shd w:val="clear" w:color="auto" w:fill="auto"/>
      <w:vertAlign w:val="baseline"/>
    </w:rPr>
  </w:style>
  <w:style w:type="paragraph" w:styleId="618">
    <w:name w:val="Heading 3"/>
    <w:basedOn w:val="614"/>
    <w:next w:val="614"/>
    <w:pPr>
      <w:ind w:left="0" w:right="0" w:firstLine="0"/>
      <w:jc w:val="left"/>
      <w:keepLines/>
      <w:keepNext/>
      <w:spacing w:before="280" w:after="80" w:line="276" w:lineRule="auto"/>
      <w:shd w:val="clear" w:color="auto" w:fill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Calibri" w:cs="Calibri"/>
      <w:b/>
      <w:color w:val="000000"/>
      <w:sz w:val="28"/>
      <w:szCs w:val="28"/>
      <w:u w:val="none"/>
      <w:shd w:val="clear" w:color="auto" w:fill="auto"/>
      <w:vertAlign w:val="baseline"/>
    </w:rPr>
  </w:style>
  <w:style w:type="paragraph" w:styleId="619">
    <w:name w:val="Heading 4"/>
    <w:basedOn w:val="614"/>
    <w:next w:val="614"/>
    <w:pPr>
      <w:ind w:left="0" w:right="0" w:firstLine="0"/>
      <w:jc w:val="left"/>
      <w:keepLines/>
      <w:keepNext/>
      <w:spacing w:before="240" w:after="40" w:line="276" w:lineRule="auto"/>
      <w:shd w:val="clear" w:color="auto" w:fill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Calibri" w:cs="Calibri"/>
      <w:b/>
      <w:color w:val="000000"/>
      <w:sz w:val="24"/>
      <w:szCs w:val="24"/>
      <w:u w:val="none"/>
      <w:shd w:val="clear" w:color="auto" w:fill="auto"/>
      <w:vertAlign w:val="baseline"/>
    </w:rPr>
  </w:style>
  <w:style w:type="paragraph" w:styleId="620">
    <w:name w:val="Heading 5"/>
    <w:basedOn w:val="614"/>
    <w:next w:val="614"/>
    <w:pPr>
      <w:ind w:left="0" w:right="0" w:firstLine="0"/>
      <w:jc w:val="left"/>
      <w:keepLines/>
      <w:keepNext/>
      <w:spacing w:before="220" w:after="40" w:line="276" w:lineRule="auto"/>
      <w:shd w:val="clear" w:color="auto" w:fill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Calibri" w:cs="Calibri"/>
      <w:b/>
      <w:color w:val="000000"/>
      <w:sz w:val="22"/>
      <w:szCs w:val="22"/>
      <w:u w:val="none"/>
      <w:shd w:val="clear" w:color="auto" w:fill="auto"/>
      <w:vertAlign w:val="baseline"/>
    </w:rPr>
  </w:style>
  <w:style w:type="paragraph" w:styleId="621">
    <w:name w:val="Heading 6"/>
    <w:basedOn w:val="614"/>
    <w:next w:val="614"/>
    <w:pPr>
      <w:ind w:left="0" w:right="0" w:firstLine="0"/>
      <w:jc w:val="left"/>
      <w:keepLines/>
      <w:keepNext/>
      <w:spacing w:before="200" w:after="40" w:line="276" w:lineRule="auto"/>
      <w:shd w:val="clear" w:color="auto" w:fill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Calibri" w:cs="Calibri"/>
      <w:b/>
      <w:color w:val="000000"/>
      <w:sz w:val="20"/>
      <w:szCs w:val="20"/>
      <w:u w:val="none"/>
      <w:shd w:val="clear" w:color="auto" w:fill="auto"/>
      <w:vertAlign w:val="baseline"/>
    </w:rPr>
  </w:style>
  <w:style w:type="paragraph" w:styleId="622">
    <w:name w:val="Title"/>
    <w:basedOn w:val="614"/>
    <w:next w:val="614"/>
    <w:pPr>
      <w:ind w:left="0" w:right="0" w:firstLine="0"/>
      <w:jc w:val="left"/>
      <w:keepLines/>
      <w:keepNext/>
      <w:spacing w:before="480" w:after="120" w:line="276" w:lineRule="auto"/>
      <w:shd w:val="clear" w:color="auto" w:fill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Calibri" w:cs="Calibri"/>
      <w:b/>
      <w:color w:val="000000"/>
      <w:sz w:val="72"/>
      <w:szCs w:val="72"/>
      <w:u w:val="none"/>
      <w:shd w:val="clear" w:color="auto" w:fill="auto"/>
      <w:vertAlign w:val="baseline"/>
    </w:rPr>
  </w:style>
  <w:style w:type="paragraph" w:styleId="623">
    <w:name w:val="Subtitle"/>
    <w:basedOn w:val="614"/>
    <w:next w:val="614"/>
    <w:pPr>
      <w:ind w:left="0" w:right="0" w:firstLine="0"/>
      <w:jc w:val="left"/>
      <w:keepLines/>
      <w:keepNext/>
      <w:spacing w:before="360" w:after="80" w:line="276" w:lineRule="auto"/>
      <w:shd w:val="clear" w:color="auto" w:fill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Georgia" w:hAnsi="Georgia" w:eastAsia="Georgia" w:cs="Georgia"/>
      <w:i/>
      <w:color w:val="666666"/>
      <w:sz w:val="48"/>
      <w:szCs w:val="48"/>
      <w:u w:val="none"/>
      <w:shd w:val="clear" w:color="auto" w:fill="auto"/>
      <w:vertAlign w:val="baseline"/>
    </w:rPr>
  </w:style>
  <w:style w:type="table" w:styleId="624">
    <w:name w:val="StGen0"/>
    <w:basedOn w:val="615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  <w:tblStylePr w:type="band1Horz">
      <w:tcPr>
        <w:tcMar>
          <w:left w:w="115" w:type="dxa"/>
          <w:top w:w="0" w:type="dxa"/>
          <w:right w:w="115" w:type="dxa"/>
          <w:bottom w:w="0" w:type="dxa"/>
        </w:tcMar>
      </w:tcPr>
    </w:tblStylePr>
    <w:tblStylePr w:type="band1Vert">
      <w:tcPr>
        <w:tcMar>
          <w:left w:w="115" w:type="dxa"/>
          <w:top w:w="0" w:type="dxa"/>
          <w:right w:w="115" w:type="dxa"/>
          <w:bottom w:w="0" w:type="dxa"/>
        </w:tcMar>
      </w:tcPr>
    </w:tblStylePr>
    <w:tblStylePr w:type="band2Horz">
      <w:tcPr>
        <w:tcMar>
          <w:left w:w="115" w:type="dxa"/>
          <w:top w:w="0" w:type="dxa"/>
          <w:right w:w="115" w:type="dxa"/>
          <w:bottom w:w="0" w:type="dxa"/>
        </w:tcMar>
      </w:tcPr>
    </w:tblStylePr>
    <w:tblStylePr w:type="band2Vert">
      <w:tcPr>
        <w:tcMar>
          <w:left w:w="115" w:type="dxa"/>
          <w:top w:w="0" w:type="dxa"/>
          <w:right w:w="115" w:type="dxa"/>
          <w:bottom w:w="0" w:type="dxa"/>
        </w:tcMar>
      </w:tcPr>
    </w:tblStylePr>
    <w:tblStylePr w:type="firstCol">
      <w:tcPr>
        <w:tcMar>
          <w:left w:w="115" w:type="dxa"/>
          <w:top w:w="0" w:type="dxa"/>
          <w:right w:w="115" w:type="dxa"/>
          <w:bottom w:w="0" w:type="dxa"/>
        </w:tcMar>
      </w:tcPr>
    </w:tblStylePr>
    <w:tblStylePr w:type="firstRow">
      <w:tcPr>
        <w:tcMar>
          <w:left w:w="115" w:type="dxa"/>
          <w:top w:w="0" w:type="dxa"/>
          <w:right w:w="115" w:type="dxa"/>
          <w:bottom w:w="0" w:type="dxa"/>
        </w:tcMar>
      </w:tcPr>
    </w:tblStylePr>
    <w:tblStylePr w:type="lastCol">
      <w:tcPr>
        <w:tcMar>
          <w:left w:w="115" w:type="dxa"/>
          <w:top w:w="0" w:type="dxa"/>
          <w:right w:w="115" w:type="dxa"/>
          <w:bottom w:w="0" w:type="dxa"/>
        </w:tcMar>
      </w:tcPr>
    </w:tblStylePr>
    <w:tblStylePr w:type="lastRow">
      <w:tcPr>
        <w:tcMar>
          <w:left w:w="115" w:type="dxa"/>
          <w:top w:w="0" w:type="dxa"/>
          <w:right w:w="115" w:type="dxa"/>
          <w:bottom w:w="0" w:type="dxa"/>
        </w:tcMar>
      </w:tcPr>
    </w:tblStylePr>
    <w:tblStylePr w:type="nwCell">
      <w:tcPr>
        <w:tcMar>
          <w:left w:w="115" w:type="dxa"/>
          <w:top w:w="0" w:type="dxa"/>
          <w:right w:w="115" w:type="dxa"/>
          <w:bottom w:w="0" w:type="dxa"/>
        </w:tcMar>
      </w:tcPr>
    </w:tblStylePr>
    <w:tblStylePr w:type="neCell">
      <w:tcPr>
        <w:tcMar>
          <w:left w:w="115" w:type="dxa"/>
          <w:top w:w="0" w:type="dxa"/>
          <w:right w:w="115" w:type="dxa"/>
          <w:bottom w:w="0" w:type="dxa"/>
        </w:tcMar>
      </w:tcPr>
    </w:tblStylePr>
    <w:tblStylePr w:type="swCell">
      <w:tcPr>
        <w:tcMar>
          <w:left w:w="115" w:type="dxa"/>
          <w:top w:w="0" w:type="dxa"/>
          <w:right w:w="115" w:type="dxa"/>
          <w:bottom w:w="0" w:type="dxa"/>
        </w:tcMar>
      </w:tcPr>
    </w:tblStylePr>
    <w:tblStylePr w:type="seCell">
      <w:tcPr>
        <w:tcMar>
          <w:left w:w="115" w:type="dxa"/>
          <w:top w:w="0" w:type="dxa"/>
          <w:right w:w="115" w:type="dxa"/>
          <w:bottom w:w="0" w:type="dxa"/>
        </w:tcMar>
      </w:tcPr>
    </w:tblStylePr>
  </w:style>
  <w:style w:type="table" w:styleId="625">
    <w:name w:val="StGen1"/>
    <w:basedOn w:val="615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  <w:tblStylePr w:type="band1Horz">
      <w:tcPr>
        <w:tcMar>
          <w:left w:w="115" w:type="dxa"/>
          <w:top w:w="0" w:type="dxa"/>
          <w:right w:w="115" w:type="dxa"/>
          <w:bottom w:w="0" w:type="dxa"/>
        </w:tcMar>
      </w:tcPr>
    </w:tblStylePr>
    <w:tblStylePr w:type="band1Vert">
      <w:tcPr>
        <w:tcMar>
          <w:left w:w="115" w:type="dxa"/>
          <w:top w:w="0" w:type="dxa"/>
          <w:right w:w="115" w:type="dxa"/>
          <w:bottom w:w="0" w:type="dxa"/>
        </w:tcMar>
      </w:tcPr>
    </w:tblStylePr>
    <w:tblStylePr w:type="band2Horz">
      <w:tcPr>
        <w:tcMar>
          <w:left w:w="115" w:type="dxa"/>
          <w:top w:w="0" w:type="dxa"/>
          <w:right w:w="115" w:type="dxa"/>
          <w:bottom w:w="0" w:type="dxa"/>
        </w:tcMar>
      </w:tcPr>
    </w:tblStylePr>
    <w:tblStylePr w:type="band2Vert">
      <w:tcPr>
        <w:tcMar>
          <w:left w:w="115" w:type="dxa"/>
          <w:top w:w="0" w:type="dxa"/>
          <w:right w:w="115" w:type="dxa"/>
          <w:bottom w:w="0" w:type="dxa"/>
        </w:tcMar>
      </w:tcPr>
    </w:tblStylePr>
    <w:tblStylePr w:type="firstCol">
      <w:tcPr>
        <w:tcMar>
          <w:left w:w="115" w:type="dxa"/>
          <w:top w:w="0" w:type="dxa"/>
          <w:right w:w="115" w:type="dxa"/>
          <w:bottom w:w="0" w:type="dxa"/>
        </w:tcMar>
      </w:tcPr>
    </w:tblStylePr>
    <w:tblStylePr w:type="firstRow">
      <w:tcPr>
        <w:tcMar>
          <w:left w:w="115" w:type="dxa"/>
          <w:top w:w="0" w:type="dxa"/>
          <w:right w:w="115" w:type="dxa"/>
          <w:bottom w:w="0" w:type="dxa"/>
        </w:tcMar>
      </w:tcPr>
    </w:tblStylePr>
    <w:tblStylePr w:type="lastCol">
      <w:tcPr>
        <w:tcMar>
          <w:left w:w="115" w:type="dxa"/>
          <w:top w:w="0" w:type="dxa"/>
          <w:right w:w="115" w:type="dxa"/>
          <w:bottom w:w="0" w:type="dxa"/>
        </w:tcMar>
      </w:tcPr>
    </w:tblStylePr>
    <w:tblStylePr w:type="lastRow">
      <w:tcPr>
        <w:tcMar>
          <w:left w:w="115" w:type="dxa"/>
          <w:top w:w="0" w:type="dxa"/>
          <w:right w:w="115" w:type="dxa"/>
          <w:bottom w:w="0" w:type="dxa"/>
        </w:tcMar>
      </w:tcPr>
    </w:tblStylePr>
    <w:tblStylePr w:type="nwCell">
      <w:tcPr>
        <w:tcMar>
          <w:left w:w="115" w:type="dxa"/>
          <w:top w:w="0" w:type="dxa"/>
          <w:right w:w="115" w:type="dxa"/>
          <w:bottom w:w="0" w:type="dxa"/>
        </w:tcMar>
      </w:tcPr>
    </w:tblStylePr>
    <w:tblStylePr w:type="neCell">
      <w:tcPr>
        <w:tcMar>
          <w:left w:w="115" w:type="dxa"/>
          <w:top w:w="0" w:type="dxa"/>
          <w:right w:w="115" w:type="dxa"/>
          <w:bottom w:w="0" w:type="dxa"/>
        </w:tcMar>
      </w:tcPr>
    </w:tblStylePr>
    <w:tblStylePr w:type="swCell">
      <w:tcPr>
        <w:tcMar>
          <w:left w:w="115" w:type="dxa"/>
          <w:top w:w="0" w:type="dxa"/>
          <w:right w:w="115" w:type="dxa"/>
          <w:bottom w:w="0" w:type="dxa"/>
        </w:tcMar>
      </w:tcPr>
    </w:tblStylePr>
    <w:tblStylePr w:type="seCell">
      <w:tcPr>
        <w:tcMar>
          <w:left w:w="115" w:type="dxa"/>
          <w:top w:w="0" w:type="dxa"/>
          <w:right w:w="115" w:type="dxa"/>
          <w:bottom w:w="0" w:type="dxa"/>
        </w:tcMar>
      </w:tcPr>
    </w:tblStylePr>
  </w:style>
  <w:style w:type="character" w:styleId="789" w:default="1">
    <w:name w:val="Default Paragraph Font"/>
    <w:uiPriority w:val="1"/>
    <w:semiHidden/>
    <w:unhideWhenUsed/>
  </w:style>
  <w:style w:type="numbering" w:styleId="79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https://xn-----6kccabiku3amd2bhib5ahmdqbk.xn--p1ai/partners?utm_source=shablon_zayavlenia&amp;utm_medium=action&amp;utm_campaign=pismopp" TargetMode="External"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